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Crypto News February 14,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Blockchain games see 3x year-on-year rise in activity for January: DappRadar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DappRadar reported that there were 7 million daily unique active wallets in Web3 gaming last month, up 386% compared to January 2024.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Blockchain gaming in January saw a threefold increase in onchain activity compared to the same time a year ago, a new report from blockchain analytics platform DappRadar shows.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Web3 games saw over 7 million unique active wallets (UAW) a day last month — a 386% increase compared to January 2024, according to DappRadar’s Feb. 13 gaming report.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“This growth signals strong momentum and underscores the industry’s resilience despite short-term fluctuations,” DappRadar analyst Sara Gherghelas said.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Gherghelas said that blockchain gaming is “entering a phase of maturation” and pointed to layer-2 advancements, evolving token economies and AAA collaborations — such as Gunzilla Games’ Off The Grid.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